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华文中宋" w:hAnsi="华文中宋" w:eastAsia="华文中宋"/>
          <w:b/>
          <w:sz w:val="36"/>
          <w:szCs w:val="30"/>
        </w:rPr>
      </w:pPr>
      <w:r>
        <w:rPr>
          <w:rFonts w:hint="eastAsia" w:ascii="华文中宋" w:hAnsi="华文中宋" w:eastAsia="华文中宋"/>
          <w:b/>
          <w:sz w:val="36"/>
          <w:szCs w:val="30"/>
        </w:rPr>
        <w:drawing>
          <wp:anchor distT="0" distB="0" distL="114300" distR="114300" simplePos="0" relativeHeight="251659264" behindDoc="1" locked="0" layoutInCell="1" allowOverlap="1">
            <wp:simplePos x="0" y="0"/>
            <wp:positionH relativeFrom="column">
              <wp:posOffset>38100</wp:posOffset>
            </wp:positionH>
            <wp:positionV relativeFrom="paragraph">
              <wp:posOffset>-228600</wp:posOffset>
            </wp:positionV>
            <wp:extent cx="5276850" cy="790575"/>
            <wp:effectExtent l="0" t="0" r="0" b="0"/>
            <wp:wrapNone/>
            <wp:docPr id="2" name="图片 2" descr="{4A73CACF-4E3D-4D9D-B248-539AFB9860B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4A73CACF-4E3D-4D9D-B248-539AFB9860B9}.png"/>
                    <pic:cNvPicPr>
                      <a:picLocks noChangeAspect="1"/>
                    </pic:cNvPicPr>
                  </pic:nvPicPr>
                  <pic:blipFill>
                    <a:blip r:embed="rId4" cstate="print"/>
                    <a:stretch>
                      <a:fillRect/>
                    </a:stretch>
                  </pic:blipFill>
                  <pic:spPr>
                    <a:xfrm>
                      <a:off x="0" y="0"/>
                      <a:ext cx="5276850" cy="790575"/>
                    </a:xfrm>
                    <a:prstGeom prst="rect">
                      <a:avLst/>
                    </a:prstGeom>
                  </pic:spPr>
                </pic:pic>
              </a:graphicData>
            </a:graphic>
          </wp:anchor>
        </w:drawing>
      </w:r>
    </w:p>
    <w:p>
      <w:pPr>
        <w:pStyle w:val="2"/>
        <w:snapToGrid w:val="0"/>
        <w:spacing w:line="520" w:lineRule="exact"/>
        <w:ind w:firstLine="0"/>
        <w:jc w:val="center"/>
        <w:rPr>
          <w:rFonts w:ascii="仿宋_GB2312" w:eastAsia="仿宋_GB2312"/>
          <w:b/>
          <w:color w:val="FF0000"/>
          <w:sz w:val="52"/>
          <w:szCs w:val="28"/>
        </w:rPr>
      </w:pPr>
    </w:p>
    <w:p>
      <w:pPr>
        <w:pStyle w:val="2"/>
        <w:snapToGrid w:val="0"/>
        <w:spacing w:line="520" w:lineRule="exact"/>
        <w:ind w:firstLine="0"/>
        <w:jc w:val="center"/>
        <w:rPr>
          <w:rFonts w:hint="eastAsia" w:ascii="黑体" w:hAnsi="黑体" w:eastAsia="黑体"/>
          <w:b/>
          <w:sz w:val="40"/>
          <w:szCs w:val="28"/>
        </w:rPr>
      </w:pPr>
      <w:r>
        <w:rPr>
          <w:rFonts w:hint="eastAsia" w:ascii="黑体" w:hAnsi="黑体" w:eastAsia="黑体"/>
          <w:b/>
          <w:color w:val="FF0000"/>
          <w:sz w:val="40"/>
          <w:szCs w:val="28"/>
        </w:rPr>
        <w:t>广州市</w:t>
      </w:r>
      <w:r>
        <w:rPr>
          <w:rFonts w:hint="eastAsia" w:ascii="黑体" w:hAnsi="黑体" w:eastAsia="黑体"/>
          <w:b/>
          <w:sz w:val="40"/>
          <w:szCs w:val="28"/>
        </w:rPr>
        <w:t>分公司</w:t>
      </w:r>
    </w:p>
    <w:p>
      <w:pPr>
        <w:pStyle w:val="2"/>
        <w:snapToGrid w:val="0"/>
        <w:spacing w:line="520" w:lineRule="exact"/>
        <w:ind w:firstLine="0"/>
        <w:jc w:val="center"/>
        <w:rPr>
          <w:rFonts w:hint="eastAsia" w:ascii="黑体" w:hAnsi="黑体" w:eastAsia="黑体"/>
          <w:b/>
          <w:sz w:val="40"/>
          <w:szCs w:val="28"/>
          <w:lang w:eastAsia="zh-CN"/>
        </w:rPr>
      </w:pPr>
      <w:r>
        <w:rPr>
          <w:rFonts w:hint="eastAsia" w:ascii="黑体" w:hAnsi="黑体" w:eastAsia="黑体"/>
          <w:b/>
          <w:sz w:val="40"/>
          <w:szCs w:val="28"/>
          <w:lang w:eastAsia="zh-CN"/>
        </w:rPr>
        <w:t>赴北京、西安、武汉、长春、济南</w:t>
      </w:r>
      <w:bookmarkStart w:id="0" w:name="_GoBack"/>
      <w:bookmarkEnd w:id="0"/>
    </w:p>
    <w:p>
      <w:pPr>
        <w:pStyle w:val="2"/>
        <w:snapToGrid w:val="0"/>
        <w:spacing w:line="520" w:lineRule="exact"/>
        <w:ind w:firstLine="646"/>
        <w:jc w:val="left"/>
        <w:rPr>
          <w:rFonts w:ascii="仿宋_GB2312" w:eastAsia="仿宋_GB2312"/>
          <w:sz w:val="32"/>
          <w:szCs w:val="32"/>
        </w:rPr>
      </w:pPr>
      <w:r>
        <w:rPr>
          <w:rFonts w:hint="eastAsia" w:ascii="仿宋_GB2312" w:eastAsia="仿宋_GB2312"/>
          <w:sz w:val="32"/>
          <w:szCs w:val="32"/>
        </w:rPr>
        <w:t>中国人寿集团是国内最大的国有金融保险集团，是国内资本市场最大的机构投资者之一。公司现有8家直属单位，为广发银行单一最大股东，业务范围涵盖寿险、财险、企业和职业年金、银行、基金、资产管理、财富管理、实业投资、海外业务等多个领域，初步形成由保险、投资、银行三大板块构成的综合金融布局。所属中国人寿保险股份有限公司（简称“寿险公司”）于2003年在香港和纽约上市，2007年回归A股，为目前国内唯一一家三地上市的国有金融企业。2016年，集团合并营业收入6963亿元，合并总资产3.35万亿元，广发银行2万亿（未并表），全量商业保险有效客户2.3亿。公司连续15年入选《财富》杂志</w:t>
      </w:r>
      <w:r>
        <w:rPr>
          <w:rFonts w:hint="eastAsia" w:ascii="仿宋_GB2312" w:eastAsia="仿宋_GB2312"/>
          <w:color w:val="FF0000"/>
          <w:sz w:val="32"/>
          <w:szCs w:val="32"/>
        </w:rPr>
        <w:t>“世界500强”</w:t>
      </w:r>
      <w:r>
        <w:rPr>
          <w:rFonts w:hint="eastAsia" w:ascii="仿宋_GB2312" w:eastAsia="仿宋_GB2312"/>
          <w:sz w:val="32"/>
          <w:szCs w:val="32"/>
        </w:rPr>
        <w:t>榜单，2017年排名</w:t>
      </w:r>
      <w:r>
        <w:rPr>
          <w:rFonts w:hint="eastAsia" w:ascii="仿宋_GB2312" w:eastAsia="仿宋_GB2312"/>
          <w:color w:val="FF0000"/>
          <w:sz w:val="32"/>
          <w:szCs w:val="32"/>
        </w:rPr>
        <w:t>第51位</w:t>
      </w:r>
      <w:r>
        <w:rPr>
          <w:rFonts w:hint="eastAsia" w:ascii="仿宋_GB2312" w:eastAsia="仿宋_GB2312"/>
          <w:sz w:val="32"/>
          <w:szCs w:val="32"/>
        </w:rPr>
        <w:t>；连续10年入选世界品牌500强，品牌价值高达2871.56亿元；在2017年“中国500最具价值品牌”排行榜中位列第4，在入选的金融保险企业中排名第一。</w:t>
      </w:r>
    </w:p>
    <w:p>
      <w:pPr>
        <w:pStyle w:val="2"/>
        <w:snapToGrid w:val="0"/>
        <w:spacing w:line="520" w:lineRule="exact"/>
        <w:ind w:firstLine="646"/>
        <w:jc w:val="left"/>
        <w:rPr>
          <w:rFonts w:ascii="仿宋_GB2312" w:eastAsia="仿宋_GB2312"/>
          <w:sz w:val="32"/>
          <w:szCs w:val="32"/>
        </w:rPr>
      </w:pPr>
      <w:r>
        <w:rPr>
          <w:rFonts w:hint="eastAsia" w:ascii="仿宋_GB2312" w:eastAsia="仿宋_GB2312"/>
          <w:sz w:val="32"/>
          <w:szCs w:val="32"/>
        </w:rPr>
        <w:t>中国人寿保险股份有限公司广州市分公司是国寿系统内业务规模最大的省会城市分支机构，目前共有在职员工近800人，及超过20000名营销人员。截止2017年6月，公司实现自营总保费78.20亿，多项核心业务指标（新单期交、个险新单期交、个险十年期交、银保期交）在全国系统名列前茅。</w:t>
      </w:r>
    </w:p>
    <w:p>
      <w:pPr>
        <w:pStyle w:val="2"/>
        <w:snapToGrid w:val="0"/>
        <w:spacing w:line="520" w:lineRule="exact"/>
        <w:ind w:firstLine="646"/>
        <w:jc w:val="left"/>
        <w:rPr>
          <w:rFonts w:ascii="仿宋_GB2312" w:eastAsia="仿宋_GB2312"/>
          <w:sz w:val="32"/>
          <w:szCs w:val="32"/>
        </w:rPr>
      </w:pPr>
    </w:p>
    <w:p>
      <w:pPr>
        <w:pStyle w:val="2"/>
        <w:snapToGrid w:val="0"/>
        <w:spacing w:line="520" w:lineRule="exact"/>
        <w:ind w:firstLine="646"/>
        <w:jc w:val="left"/>
        <w:rPr>
          <w:rFonts w:ascii="仿宋_GB2312" w:eastAsia="仿宋_GB2312"/>
          <w:sz w:val="32"/>
          <w:szCs w:val="32"/>
        </w:rPr>
      </w:pPr>
    </w:p>
    <w:p>
      <w:pPr>
        <w:pStyle w:val="2"/>
        <w:snapToGrid w:val="0"/>
        <w:spacing w:line="520" w:lineRule="exact"/>
        <w:ind w:firstLine="646"/>
        <w:jc w:val="center"/>
        <w:rPr>
          <w:rFonts w:ascii="仿宋_GB2312" w:hAnsi="微软雅黑" w:eastAsia="仿宋_GB2312" w:cs="Tahoma"/>
          <w:b/>
          <w:spacing w:val="2"/>
          <w:sz w:val="28"/>
          <w:szCs w:val="28"/>
        </w:rPr>
      </w:pPr>
      <w:r>
        <w:rPr>
          <w:rFonts w:hint="eastAsia" w:ascii="仿宋_GB2312" w:hAnsi="微软雅黑" w:eastAsia="仿宋_GB2312" w:cs="Tahoma"/>
          <w:b/>
          <w:spacing w:val="2"/>
          <w:kern w:val="0"/>
          <w:sz w:val="28"/>
          <w:szCs w:val="28"/>
        </w:rPr>
        <w:t>中国人寿广州市分公司2018年计划招聘应届毕业生40人：</w:t>
      </w:r>
    </w:p>
    <w:tbl>
      <w:tblPr>
        <w:tblStyle w:val="10"/>
        <w:tblW w:w="8963" w:type="dxa"/>
        <w:jc w:val="center"/>
        <w:tblInd w:w="10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5"/>
        <w:gridCol w:w="4431"/>
        <w:gridCol w:w="1220"/>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jc w:val="center"/>
        </w:trPr>
        <w:tc>
          <w:tcPr>
            <w:tcW w:w="2135" w:type="dxa"/>
            <w:vAlign w:val="center"/>
          </w:tcPr>
          <w:p>
            <w:pPr>
              <w:pStyle w:val="2"/>
              <w:snapToGrid w:val="0"/>
              <w:spacing w:line="520" w:lineRule="exact"/>
              <w:ind w:firstLine="0"/>
              <w:jc w:val="center"/>
              <w:rPr>
                <w:rFonts w:ascii="微软雅黑" w:hAnsi="微软雅黑" w:eastAsia="微软雅黑" w:cs="Tahoma"/>
                <w:b/>
                <w:kern w:val="0"/>
                <w:sz w:val="21"/>
                <w:szCs w:val="18"/>
              </w:rPr>
            </w:pPr>
            <w:r>
              <w:rPr>
                <w:rFonts w:hint="eastAsia" w:ascii="微软雅黑" w:hAnsi="微软雅黑" w:eastAsia="微软雅黑" w:cs="Tahoma"/>
                <w:b/>
                <w:kern w:val="0"/>
                <w:sz w:val="21"/>
                <w:szCs w:val="18"/>
              </w:rPr>
              <w:t>岗位类别</w:t>
            </w:r>
          </w:p>
        </w:tc>
        <w:tc>
          <w:tcPr>
            <w:tcW w:w="4431" w:type="dxa"/>
            <w:vAlign w:val="center"/>
          </w:tcPr>
          <w:p>
            <w:pPr>
              <w:pStyle w:val="2"/>
              <w:snapToGrid w:val="0"/>
              <w:spacing w:line="520" w:lineRule="exact"/>
              <w:ind w:firstLine="0"/>
              <w:jc w:val="center"/>
              <w:rPr>
                <w:rFonts w:ascii="微软雅黑" w:hAnsi="微软雅黑" w:eastAsia="微软雅黑" w:cs="Tahoma"/>
                <w:b/>
                <w:kern w:val="0"/>
                <w:sz w:val="21"/>
                <w:szCs w:val="18"/>
              </w:rPr>
            </w:pPr>
            <w:r>
              <w:rPr>
                <w:rFonts w:hint="eastAsia" w:ascii="微软雅黑" w:hAnsi="微软雅黑" w:eastAsia="微软雅黑" w:cs="Tahoma"/>
                <w:b/>
                <w:kern w:val="0"/>
                <w:sz w:val="21"/>
                <w:szCs w:val="18"/>
              </w:rPr>
              <w:t>专业要求</w:t>
            </w:r>
          </w:p>
        </w:tc>
        <w:tc>
          <w:tcPr>
            <w:tcW w:w="1220" w:type="dxa"/>
          </w:tcPr>
          <w:p>
            <w:pPr>
              <w:pStyle w:val="2"/>
              <w:snapToGrid w:val="0"/>
              <w:spacing w:line="520" w:lineRule="exact"/>
              <w:ind w:firstLine="0"/>
              <w:jc w:val="center"/>
              <w:rPr>
                <w:rFonts w:ascii="微软雅黑" w:hAnsi="微软雅黑" w:eastAsia="微软雅黑" w:cs="Tahoma"/>
                <w:b/>
                <w:kern w:val="0"/>
                <w:sz w:val="21"/>
                <w:szCs w:val="18"/>
              </w:rPr>
            </w:pPr>
            <w:r>
              <w:rPr>
                <w:rFonts w:hint="eastAsia" w:ascii="微软雅黑" w:hAnsi="微软雅黑" w:eastAsia="微软雅黑" w:cs="Tahoma"/>
                <w:b/>
                <w:kern w:val="0"/>
                <w:sz w:val="21"/>
                <w:szCs w:val="18"/>
              </w:rPr>
              <w:t>工作地点</w:t>
            </w:r>
          </w:p>
        </w:tc>
        <w:tc>
          <w:tcPr>
            <w:tcW w:w="1177" w:type="dxa"/>
          </w:tcPr>
          <w:p>
            <w:pPr>
              <w:pStyle w:val="2"/>
              <w:snapToGrid w:val="0"/>
              <w:spacing w:line="520" w:lineRule="exact"/>
              <w:ind w:firstLine="0"/>
              <w:jc w:val="center"/>
              <w:rPr>
                <w:rFonts w:ascii="微软雅黑" w:hAnsi="微软雅黑" w:eastAsia="微软雅黑" w:cs="Tahoma"/>
                <w:b/>
                <w:kern w:val="0"/>
                <w:sz w:val="21"/>
                <w:szCs w:val="18"/>
              </w:rPr>
            </w:pPr>
            <w:r>
              <w:rPr>
                <w:rFonts w:hint="eastAsia" w:ascii="微软雅黑" w:hAnsi="微软雅黑" w:eastAsia="微软雅黑" w:cs="Tahoma"/>
                <w:b/>
                <w:kern w:val="0"/>
                <w:sz w:val="21"/>
                <w:szCs w:val="18"/>
              </w:rPr>
              <w:t>招聘人数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 w:hRule="atLeast"/>
          <w:jc w:val="center"/>
        </w:trPr>
        <w:tc>
          <w:tcPr>
            <w:tcW w:w="2135" w:type="dxa"/>
            <w:vAlign w:val="center"/>
          </w:tcPr>
          <w:p>
            <w:pPr>
              <w:pStyle w:val="2"/>
              <w:snapToGrid w:val="0"/>
              <w:spacing w:line="520" w:lineRule="exact"/>
              <w:ind w:firstLine="0"/>
              <w:jc w:val="center"/>
              <w:rPr>
                <w:rFonts w:ascii="微软雅黑" w:hAnsi="微软雅黑" w:eastAsia="微软雅黑"/>
                <w:color w:val="FF0000"/>
                <w:kern w:val="0"/>
                <w:sz w:val="21"/>
                <w:szCs w:val="24"/>
              </w:rPr>
            </w:pPr>
            <w:r>
              <w:rPr>
                <w:rFonts w:hint="eastAsia" w:ascii="微软雅黑" w:hAnsi="微软雅黑" w:eastAsia="微软雅黑"/>
                <w:color w:val="FF0000"/>
                <w:kern w:val="0"/>
                <w:sz w:val="21"/>
                <w:szCs w:val="24"/>
              </w:rPr>
              <w:t>销售管理类</w:t>
            </w:r>
          </w:p>
        </w:tc>
        <w:tc>
          <w:tcPr>
            <w:tcW w:w="4431" w:type="dxa"/>
            <w:shd w:val="clear" w:color="auto" w:fill="FFFFFF" w:themeFill="background1"/>
            <w:vAlign w:val="center"/>
          </w:tcPr>
          <w:p>
            <w:pPr>
              <w:pStyle w:val="2"/>
              <w:snapToGrid w:val="0"/>
              <w:ind w:firstLine="0"/>
              <w:jc w:val="left"/>
              <w:rPr>
                <w:rFonts w:ascii="微软雅黑" w:hAnsi="微软雅黑" w:eastAsia="微软雅黑"/>
                <w:color w:val="FF0000"/>
                <w:kern w:val="0"/>
                <w:sz w:val="18"/>
                <w:szCs w:val="18"/>
              </w:rPr>
            </w:pPr>
            <w:r>
              <w:rPr>
                <w:rFonts w:hint="eastAsia" w:ascii="微软雅黑" w:hAnsi="微软雅黑" w:eastAsia="微软雅黑"/>
                <w:color w:val="FF0000"/>
                <w:kern w:val="0"/>
                <w:sz w:val="18"/>
                <w:szCs w:val="18"/>
              </w:rPr>
              <w:t>专业不限，优先考虑保险、金融工程、经济类、数理统计类、管理类、市场营销、信息技术等相关专业。</w:t>
            </w:r>
          </w:p>
        </w:tc>
        <w:tc>
          <w:tcPr>
            <w:tcW w:w="1220" w:type="dxa"/>
            <w:shd w:val="clear" w:color="auto" w:fill="FFFFFF" w:themeFill="background1"/>
          </w:tcPr>
          <w:p>
            <w:pPr>
              <w:pStyle w:val="2"/>
              <w:snapToGrid w:val="0"/>
              <w:spacing w:line="520" w:lineRule="exact"/>
              <w:ind w:firstLine="0"/>
              <w:jc w:val="center"/>
              <w:rPr>
                <w:rFonts w:ascii="微软雅黑" w:hAnsi="微软雅黑" w:eastAsia="微软雅黑"/>
                <w:color w:val="FF0000"/>
                <w:kern w:val="0"/>
                <w:sz w:val="21"/>
                <w:szCs w:val="24"/>
              </w:rPr>
            </w:pPr>
            <w:r>
              <w:rPr>
                <w:rFonts w:hint="eastAsia" w:ascii="微软雅黑" w:hAnsi="微软雅黑" w:eastAsia="微软雅黑"/>
                <w:color w:val="FF0000"/>
                <w:kern w:val="0"/>
                <w:sz w:val="21"/>
                <w:szCs w:val="24"/>
              </w:rPr>
              <w:t>广州</w:t>
            </w:r>
          </w:p>
        </w:tc>
        <w:tc>
          <w:tcPr>
            <w:tcW w:w="1177" w:type="dxa"/>
            <w:shd w:val="clear" w:color="auto" w:fill="FFFFFF" w:themeFill="background1"/>
          </w:tcPr>
          <w:p>
            <w:pPr>
              <w:pStyle w:val="2"/>
              <w:snapToGrid w:val="0"/>
              <w:spacing w:line="520" w:lineRule="exact"/>
              <w:ind w:firstLine="0"/>
              <w:jc w:val="center"/>
              <w:rPr>
                <w:rFonts w:ascii="微软雅黑" w:hAnsi="微软雅黑" w:eastAsia="微软雅黑"/>
                <w:color w:val="FF0000"/>
                <w:kern w:val="0"/>
                <w:sz w:val="21"/>
                <w:szCs w:val="24"/>
              </w:rPr>
            </w:pPr>
            <w:r>
              <w:rPr>
                <w:rFonts w:hint="eastAsia" w:ascii="微软雅黑" w:hAnsi="微软雅黑" w:eastAsia="微软雅黑"/>
                <w:color w:val="FF0000"/>
                <w:kern w:val="0"/>
                <w:sz w:val="21"/>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jc w:val="center"/>
        </w:trPr>
        <w:tc>
          <w:tcPr>
            <w:tcW w:w="2135" w:type="dxa"/>
            <w:vAlign w:val="center"/>
          </w:tcPr>
          <w:p>
            <w:pPr>
              <w:pStyle w:val="2"/>
              <w:snapToGrid w:val="0"/>
              <w:spacing w:line="520" w:lineRule="exact"/>
              <w:ind w:firstLine="0"/>
              <w:jc w:val="center"/>
              <w:rPr>
                <w:rFonts w:ascii="微软雅黑" w:hAnsi="微软雅黑" w:eastAsia="微软雅黑"/>
                <w:color w:val="FF0000"/>
                <w:kern w:val="0"/>
                <w:sz w:val="21"/>
                <w:szCs w:val="24"/>
              </w:rPr>
            </w:pPr>
            <w:r>
              <w:rPr>
                <w:rFonts w:hint="eastAsia" w:ascii="微软雅黑" w:hAnsi="微软雅黑" w:eastAsia="微软雅黑"/>
                <w:color w:val="FF0000"/>
                <w:kern w:val="0"/>
                <w:sz w:val="21"/>
                <w:szCs w:val="24"/>
              </w:rPr>
              <w:t>教育培训类</w:t>
            </w:r>
          </w:p>
        </w:tc>
        <w:tc>
          <w:tcPr>
            <w:tcW w:w="4431" w:type="dxa"/>
            <w:vAlign w:val="center"/>
          </w:tcPr>
          <w:p>
            <w:pPr>
              <w:pStyle w:val="2"/>
              <w:snapToGrid w:val="0"/>
              <w:ind w:firstLine="0"/>
              <w:jc w:val="left"/>
              <w:rPr>
                <w:rFonts w:ascii="微软雅黑" w:hAnsi="微软雅黑" w:eastAsia="微软雅黑"/>
                <w:color w:val="FF0000"/>
                <w:kern w:val="0"/>
                <w:sz w:val="18"/>
                <w:szCs w:val="18"/>
              </w:rPr>
            </w:pPr>
            <w:r>
              <w:rPr>
                <w:rFonts w:hint="eastAsia" w:ascii="微软雅黑" w:hAnsi="微软雅黑" w:eastAsia="微软雅黑"/>
                <w:color w:val="FF0000"/>
                <w:kern w:val="0"/>
                <w:sz w:val="18"/>
                <w:szCs w:val="18"/>
              </w:rPr>
              <w:t>财经类、金融保险类、师范类、管理类、销售类、心理学类等相关专业。</w:t>
            </w:r>
          </w:p>
        </w:tc>
        <w:tc>
          <w:tcPr>
            <w:tcW w:w="1220" w:type="dxa"/>
          </w:tcPr>
          <w:p>
            <w:pPr>
              <w:pStyle w:val="2"/>
              <w:snapToGrid w:val="0"/>
              <w:spacing w:line="520" w:lineRule="exact"/>
              <w:ind w:firstLine="0"/>
              <w:jc w:val="center"/>
              <w:rPr>
                <w:rFonts w:ascii="微软雅黑" w:hAnsi="微软雅黑" w:eastAsia="微软雅黑"/>
                <w:color w:val="FF0000"/>
                <w:kern w:val="0"/>
                <w:sz w:val="21"/>
                <w:szCs w:val="24"/>
              </w:rPr>
            </w:pPr>
            <w:r>
              <w:rPr>
                <w:rFonts w:hint="eastAsia" w:ascii="微软雅黑" w:hAnsi="微软雅黑" w:eastAsia="微软雅黑"/>
                <w:color w:val="FF0000"/>
                <w:kern w:val="0"/>
                <w:sz w:val="21"/>
                <w:szCs w:val="24"/>
              </w:rPr>
              <w:t>广州</w:t>
            </w:r>
          </w:p>
        </w:tc>
        <w:tc>
          <w:tcPr>
            <w:tcW w:w="1177" w:type="dxa"/>
          </w:tcPr>
          <w:p>
            <w:pPr>
              <w:pStyle w:val="2"/>
              <w:snapToGrid w:val="0"/>
              <w:spacing w:line="520" w:lineRule="exact"/>
              <w:ind w:firstLine="0"/>
              <w:jc w:val="center"/>
              <w:rPr>
                <w:rFonts w:ascii="微软雅黑" w:hAnsi="微软雅黑" w:eastAsia="微软雅黑"/>
                <w:color w:val="FF0000"/>
                <w:kern w:val="0"/>
                <w:sz w:val="21"/>
                <w:szCs w:val="24"/>
              </w:rPr>
            </w:pPr>
            <w:r>
              <w:rPr>
                <w:rFonts w:hint="eastAsia" w:ascii="微软雅黑" w:hAnsi="微软雅黑" w:eastAsia="微软雅黑"/>
                <w:color w:val="FF0000"/>
                <w:kern w:val="0"/>
                <w:sz w:val="21"/>
                <w:szCs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jc w:val="center"/>
        </w:trPr>
        <w:tc>
          <w:tcPr>
            <w:tcW w:w="2135" w:type="dxa"/>
            <w:vAlign w:val="center"/>
          </w:tcPr>
          <w:p>
            <w:pPr>
              <w:pStyle w:val="2"/>
              <w:snapToGrid w:val="0"/>
              <w:spacing w:line="520" w:lineRule="exact"/>
              <w:ind w:firstLine="0"/>
              <w:jc w:val="center"/>
              <w:rPr>
                <w:rFonts w:ascii="微软雅黑" w:hAnsi="微软雅黑" w:eastAsia="微软雅黑"/>
                <w:color w:val="FF0000"/>
                <w:kern w:val="0"/>
                <w:sz w:val="21"/>
                <w:szCs w:val="24"/>
              </w:rPr>
            </w:pPr>
            <w:r>
              <w:rPr>
                <w:rFonts w:hint="eastAsia" w:ascii="微软雅黑" w:hAnsi="微软雅黑" w:eastAsia="微软雅黑"/>
                <w:color w:val="FF0000"/>
                <w:kern w:val="0"/>
                <w:sz w:val="21"/>
                <w:szCs w:val="24"/>
              </w:rPr>
              <w:t>信息技术类</w:t>
            </w:r>
          </w:p>
        </w:tc>
        <w:tc>
          <w:tcPr>
            <w:tcW w:w="4431" w:type="dxa"/>
            <w:vAlign w:val="center"/>
          </w:tcPr>
          <w:p>
            <w:pPr>
              <w:pStyle w:val="2"/>
              <w:snapToGrid w:val="0"/>
              <w:ind w:firstLine="0"/>
              <w:jc w:val="left"/>
              <w:rPr>
                <w:rFonts w:ascii="微软雅黑" w:hAnsi="微软雅黑" w:eastAsia="微软雅黑"/>
                <w:color w:val="FF0000"/>
                <w:kern w:val="0"/>
                <w:sz w:val="18"/>
                <w:szCs w:val="18"/>
              </w:rPr>
            </w:pPr>
            <w:r>
              <w:rPr>
                <w:rFonts w:ascii="微软雅黑" w:hAnsi="微软雅黑" w:eastAsia="微软雅黑"/>
                <w:color w:val="FF0000"/>
                <w:kern w:val="0"/>
                <w:sz w:val="18"/>
                <w:szCs w:val="18"/>
              </w:rPr>
              <w:t>计算机、电子科学与技术、信息与通信工程、电子商务、软件工程等相关专业。</w:t>
            </w:r>
          </w:p>
        </w:tc>
        <w:tc>
          <w:tcPr>
            <w:tcW w:w="1220" w:type="dxa"/>
          </w:tcPr>
          <w:p>
            <w:pPr>
              <w:pStyle w:val="2"/>
              <w:snapToGrid w:val="0"/>
              <w:spacing w:line="520" w:lineRule="exact"/>
              <w:ind w:firstLine="0"/>
              <w:jc w:val="center"/>
              <w:rPr>
                <w:rFonts w:ascii="微软雅黑" w:hAnsi="微软雅黑" w:eastAsia="微软雅黑"/>
                <w:color w:val="FF0000"/>
                <w:kern w:val="0"/>
                <w:sz w:val="21"/>
                <w:szCs w:val="24"/>
              </w:rPr>
            </w:pPr>
            <w:r>
              <w:rPr>
                <w:rFonts w:hint="eastAsia" w:ascii="微软雅黑" w:hAnsi="微软雅黑" w:eastAsia="微软雅黑"/>
                <w:color w:val="FF0000"/>
                <w:kern w:val="0"/>
                <w:sz w:val="21"/>
                <w:szCs w:val="24"/>
              </w:rPr>
              <w:t>广州</w:t>
            </w:r>
          </w:p>
        </w:tc>
        <w:tc>
          <w:tcPr>
            <w:tcW w:w="1177" w:type="dxa"/>
          </w:tcPr>
          <w:p>
            <w:pPr>
              <w:pStyle w:val="2"/>
              <w:snapToGrid w:val="0"/>
              <w:spacing w:line="520" w:lineRule="exact"/>
              <w:ind w:firstLine="0"/>
              <w:jc w:val="center"/>
              <w:rPr>
                <w:rFonts w:ascii="微软雅黑" w:hAnsi="微软雅黑" w:eastAsia="微软雅黑"/>
                <w:color w:val="FF0000"/>
                <w:kern w:val="0"/>
                <w:sz w:val="21"/>
                <w:szCs w:val="24"/>
              </w:rPr>
            </w:pPr>
            <w:r>
              <w:rPr>
                <w:rFonts w:hint="eastAsia" w:ascii="微软雅黑" w:hAnsi="微软雅黑" w:eastAsia="微软雅黑"/>
                <w:color w:val="FF0000"/>
                <w:kern w:val="0"/>
                <w:sz w:val="21"/>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jc w:val="center"/>
        </w:trPr>
        <w:tc>
          <w:tcPr>
            <w:tcW w:w="2135" w:type="dxa"/>
            <w:vAlign w:val="center"/>
          </w:tcPr>
          <w:p>
            <w:pPr>
              <w:pStyle w:val="2"/>
              <w:snapToGrid w:val="0"/>
              <w:spacing w:line="520" w:lineRule="exact"/>
              <w:ind w:firstLine="0"/>
              <w:jc w:val="center"/>
              <w:rPr>
                <w:rFonts w:ascii="微软雅黑" w:hAnsi="微软雅黑" w:eastAsia="微软雅黑"/>
                <w:color w:val="FF0000"/>
                <w:kern w:val="0"/>
                <w:sz w:val="21"/>
                <w:szCs w:val="24"/>
              </w:rPr>
            </w:pPr>
            <w:r>
              <w:rPr>
                <w:rFonts w:hint="eastAsia" w:ascii="微软雅黑" w:hAnsi="微软雅黑" w:eastAsia="微软雅黑"/>
                <w:color w:val="FF0000"/>
                <w:kern w:val="0"/>
                <w:sz w:val="21"/>
                <w:szCs w:val="24"/>
              </w:rPr>
              <w:t>核保核赔及健康险类</w:t>
            </w:r>
          </w:p>
        </w:tc>
        <w:tc>
          <w:tcPr>
            <w:tcW w:w="4431" w:type="dxa"/>
            <w:vAlign w:val="center"/>
          </w:tcPr>
          <w:p>
            <w:pPr>
              <w:pStyle w:val="2"/>
              <w:snapToGrid w:val="0"/>
              <w:ind w:firstLine="0"/>
              <w:jc w:val="left"/>
              <w:rPr>
                <w:rFonts w:ascii="微软雅黑" w:hAnsi="微软雅黑" w:eastAsia="微软雅黑"/>
                <w:color w:val="FF0000"/>
                <w:kern w:val="0"/>
                <w:sz w:val="18"/>
                <w:szCs w:val="18"/>
              </w:rPr>
            </w:pPr>
            <w:r>
              <w:rPr>
                <w:rFonts w:hint="eastAsia" w:ascii="微软雅黑" w:hAnsi="微软雅黑" w:eastAsia="微软雅黑"/>
                <w:color w:val="FF0000"/>
                <w:kern w:val="0"/>
                <w:sz w:val="18"/>
                <w:szCs w:val="18"/>
              </w:rPr>
              <w:t>医学类相关专业。</w:t>
            </w:r>
          </w:p>
        </w:tc>
        <w:tc>
          <w:tcPr>
            <w:tcW w:w="1220" w:type="dxa"/>
          </w:tcPr>
          <w:p>
            <w:pPr>
              <w:pStyle w:val="2"/>
              <w:snapToGrid w:val="0"/>
              <w:spacing w:line="520" w:lineRule="exact"/>
              <w:ind w:firstLine="0"/>
              <w:jc w:val="center"/>
              <w:rPr>
                <w:rFonts w:ascii="微软雅黑" w:hAnsi="微软雅黑" w:eastAsia="微软雅黑"/>
                <w:color w:val="FF0000"/>
                <w:kern w:val="0"/>
                <w:sz w:val="21"/>
                <w:szCs w:val="24"/>
              </w:rPr>
            </w:pPr>
            <w:r>
              <w:rPr>
                <w:rFonts w:hint="eastAsia" w:ascii="微软雅黑" w:hAnsi="微软雅黑" w:eastAsia="微软雅黑"/>
                <w:color w:val="FF0000"/>
                <w:kern w:val="0"/>
                <w:sz w:val="21"/>
                <w:szCs w:val="24"/>
              </w:rPr>
              <w:t>广州</w:t>
            </w:r>
          </w:p>
        </w:tc>
        <w:tc>
          <w:tcPr>
            <w:tcW w:w="1177" w:type="dxa"/>
          </w:tcPr>
          <w:p>
            <w:pPr>
              <w:pStyle w:val="2"/>
              <w:snapToGrid w:val="0"/>
              <w:spacing w:line="520" w:lineRule="exact"/>
              <w:ind w:firstLine="0"/>
              <w:jc w:val="center"/>
              <w:rPr>
                <w:rFonts w:ascii="微软雅黑" w:hAnsi="微软雅黑" w:eastAsia="微软雅黑"/>
                <w:color w:val="FF0000"/>
                <w:kern w:val="0"/>
                <w:sz w:val="21"/>
                <w:szCs w:val="24"/>
              </w:rPr>
            </w:pPr>
            <w:r>
              <w:rPr>
                <w:rFonts w:hint="eastAsia" w:ascii="微软雅黑" w:hAnsi="微软雅黑" w:eastAsia="微软雅黑"/>
                <w:color w:val="FF0000"/>
                <w:kern w:val="0"/>
                <w:sz w:val="21"/>
                <w:szCs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jc w:val="center"/>
        </w:trPr>
        <w:tc>
          <w:tcPr>
            <w:tcW w:w="2135" w:type="dxa"/>
            <w:vAlign w:val="center"/>
          </w:tcPr>
          <w:p>
            <w:pPr>
              <w:pStyle w:val="2"/>
              <w:snapToGrid w:val="0"/>
              <w:spacing w:line="520" w:lineRule="exact"/>
              <w:ind w:firstLine="0"/>
              <w:jc w:val="center"/>
              <w:rPr>
                <w:rFonts w:ascii="微软雅黑" w:hAnsi="微软雅黑" w:eastAsia="微软雅黑"/>
                <w:color w:val="FF0000"/>
                <w:kern w:val="0"/>
                <w:sz w:val="21"/>
                <w:szCs w:val="24"/>
              </w:rPr>
            </w:pPr>
            <w:r>
              <w:rPr>
                <w:rFonts w:hint="eastAsia" w:ascii="微软雅黑" w:hAnsi="微软雅黑" w:eastAsia="微软雅黑"/>
                <w:color w:val="FF0000"/>
                <w:kern w:val="0"/>
                <w:sz w:val="21"/>
                <w:szCs w:val="24"/>
              </w:rPr>
              <w:t>人力资源类及行政类</w:t>
            </w:r>
          </w:p>
        </w:tc>
        <w:tc>
          <w:tcPr>
            <w:tcW w:w="4431" w:type="dxa"/>
            <w:vAlign w:val="center"/>
          </w:tcPr>
          <w:p>
            <w:pPr>
              <w:pStyle w:val="2"/>
              <w:snapToGrid w:val="0"/>
              <w:ind w:firstLine="0"/>
              <w:jc w:val="left"/>
              <w:rPr>
                <w:rFonts w:ascii="微软雅黑" w:hAnsi="微软雅黑" w:eastAsia="微软雅黑"/>
                <w:color w:val="FF0000"/>
                <w:kern w:val="0"/>
                <w:sz w:val="18"/>
                <w:szCs w:val="18"/>
              </w:rPr>
            </w:pPr>
            <w:r>
              <w:rPr>
                <w:rFonts w:hint="eastAsia" w:ascii="微软雅黑" w:hAnsi="微软雅黑" w:eastAsia="微软雅黑"/>
                <w:color w:val="FF0000"/>
                <w:kern w:val="0"/>
                <w:sz w:val="18"/>
                <w:szCs w:val="18"/>
              </w:rPr>
              <w:t>人力资源管理、劳动与社会保障、心理学等相关专业。</w:t>
            </w:r>
          </w:p>
        </w:tc>
        <w:tc>
          <w:tcPr>
            <w:tcW w:w="1220" w:type="dxa"/>
          </w:tcPr>
          <w:p>
            <w:pPr>
              <w:pStyle w:val="2"/>
              <w:snapToGrid w:val="0"/>
              <w:spacing w:line="520" w:lineRule="exact"/>
              <w:ind w:firstLine="0"/>
              <w:jc w:val="center"/>
              <w:rPr>
                <w:rFonts w:ascii="微软雅黑" w:hAnsi="微软雅黑" w:eastAsia="微软雅黑"/>
                <w:color w:val="FF0000"/>
                <w:kern w:val="0"/>
                <w:sz w:val="21"/>
                <w:szCs w:val="24"/>
              </w:rPr>
            </w:pPr>
            <w:r>
              <w:rPr>
                <w:rFonts w:hint="eastAsia" w:ascii="微软雅黑" w:hAnsi="微软雅黑" w:eastAsia="微软雅黑"/>
                <w:color w:val="FF0000"/>
                <w:kern w:val="0"/>
                <w:sz w:val="21"/>
                <w:szCs w:val="24"/>
              </w:rPr>
              <w:t>广州</w:t>
            </w:r>
          </w:p>
        </w:tc>
        <w:tc>
          <w:tcPr>
            <w:tcW w:w="1177" w:type="dxa"/>
          </w:tcPr>
          <w:p>
            <w:pPr>
              <w:pStyle w:val="2"/>
              <w:snapToGrid w:val="0"/>
              <w:spacing w:line="520" w:lineRule="exact"/>
              <w:ind w:firstLine="0"/>
              <w:jc w:val="center"/>
              <w:rPr>
                <w:rFonts w:ascii="微软雅黑" w:hAnsi="微软雅黑" w:eastAsia="微软雅黑"/>
                <w:color w:val="FF0000"/>
                <w:kern w:val="0"/>
                <w:sz w:val="21"/>
                <w:szCs w:val="24"/>
              </w:rPr>
            </w:pPr>
            <w:r>
              <w:rPr>
                <w:rFonts w:hint="eastAsia" w:ascii="微软雅黑" w:hAnsi="微软雅黑" w:eastAsia="微软雅黑"/>
                <w:color w:val="FF0000"/>
                <w:kern w:val="0"/>
                <w:sz w:val="21"/>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jc w:val="center"/>
        </w:trPr>
        <w:tc>
          <w:tcPr>
            <w:tcW w:w="2135" w:type="dxa"/>
            <w:vAlign w:val="center"/>
          </w:tcPr>
          <w:p>
            <w:pPr>
              <w:pStyle w:val="2"/>
              <w:snapToGrid w:val="0"/>
              <w:spacing w:line="520" w:lineRule="exact"/>
              <w:ind w:firstLine="0"/>
              <w:jc w:val="center"/>
              <w:rPr>
                <w:rFonts w:ascii="微软雅黑" w:hAnsi="微软雅黑" w:eastAsia="微软雅黑"/>
                <w:color w:val="FF0000"/>
                <w:kern w:val="0"/>
                <w:sz w:val="21"/>
                <w:szCs w:val="24"/>
              </w:rPr>
            </w:pPr>
            <w:r>
              <w:rPr>
                <w:rFonts w:hint="eastAsia" w:ascii="微软雅黑" w:hAnsi="微软雅黑" w:eastAsia="微软雅黑"/>
                <w:color w:val="FF0000"/>
                <w:kern w:val="0"/>
                <w:sz w:val="21"/>
                <w:szCs w:val="24"/>
              </w:rPr>
              <w:t>财务管理类</w:t>
            </w:r>
          </w:p>
        </w:tc>
        <w:tc>
          <w:tcPr>
            <w:tcW w:w="4431" w:type="dxa"/>
            <w:vAlign w:val="center"/>
          </w:tcPr>
          <w:p>
            <w:pPr>
              <w:pStyle w:val="2"/>
              <w:snapToGrid w:val="0"/>
              <w:ind w:firstLine="0"/>
              <w:jc w:val="left"/>
              <w:rPr>
                <w:rFonts w:ascii="微软雅黑" w:hAnsi="微软雅黑" w:eastAsia="微软雅黑"/>
                <w:color w:val="FF0000"/>
                <w:kern w:val="0"/>
                <w:sz w:val="18"/>
                <w:szCs w:val="18"/>
              </w:rPr>
            </w:pPr>
            <w:r>
              <w:rPr>
                <w:rFonts w:hint="eastAsia" w:ascii="微软雅黑" w:hAnsi="微软雅黑" w:eastAsia="微软雅黑"/>
                <w:color w:val="FF0000"/>
                <w:kern w:val="0"/>
                <w:sz w:val="18"/>
                <w:szCs w:val="18"/>
              </w:rPr>
              <w:t>财务、税务、会计等相关专业</w:t>
            </w:r>
          </w:p>
        </w:tc>
        <w:tc>
          <w:tcPr>
            <w:tcW w:w="1220" w:type="dxa"/>
          </w:tcPr>
          <w:p>
            <w:pPr>
              <w:pStyle w:val="2"/>
              <w:snapToGrid w:val="0"/>
              <w:spacing w:line="520" w:lineRule="exact"/>
              <w:ind w:firstLine="0"/>
              <w:jc w:val="center"/>
              <w:rPr>
                <w:rFonts w:ascii="微软雅黑" w:hAnsi="微软雅黑" w:eastAsia="微软雅黑"/>
                <w:color w:val="FF0000"/>
                <w:kern w:val="0"/>
                <w:sz w:val="21"/>
                <w:szCs w:val="24"/>
              </w:rPr>
            </w:pPr>
            <w:r>
              <w:rPr>
                <w:rFonts w:hint="eastAsia" w:ascii="微软雅黑" w:hAnsi="微软雅黑" w:eastAsia="微软雅黑"/>
                <w:color w:val="FF0000"/>
                <w:kern w:val="0"/>
                <w:sz w:val="21"/>
                <w:szCs w:val="24"/>
              </w:rPr>
              <w:t>广州</w:t>
            </w:r>
          </w:p>
        </w:tc>
        <w:tc>
          <w:tcPr>
            <w:tcW w:w="1177" w:type="dxa"/>
          </w:tcPr>
          <w:p>
            <w:pPr>
              <w:pStyle w:val="2"/>
              <w:snapToGrid w:val="0"/>
              <w:spacing w:line="520" w:lineRule="exact"/>
              <w:ind w:firstLine="0"/>
              <w:jc w:val="center"/>
              <w:rPr>
                <w:rFonts w:ascii="微软雅黑" w:hAnsi="微软雅黑" w:eastAsia="微软雅黑"/>
                <w:color w:val="FF0000"/>
                <w:kern w:val="0"/>
                <w:sz w:val="21"/>
                <w:szCs w:val="24"/>
              </w:rPr>
            </w:pPr>
            <w:r>
              <w:rPr>
                <w:rFonts w:hint="eastAsia" w:ascii="微软雅黑" w:hAnsi="微软雅黑" w:eastAsia="微软雅黑"/>
                <w:color w:val="FF0000"/>
                <w:kern w:val="0"/>
                <w:sz w:val="21"/>
                <w:szCs w:val="24"/>
              </w:rPr>
              <w:t>1</w:t>
            </w:r>
          </w:p>
        </w:tc>
      </w:tr>
    </w:tbl>
    <w:p>
      <w:pPr>
        <w:pStyle w:val="2"/>
        <w:snapToGrid w:val="0"/>
        <w:spacing w:line="520" w:lineRule="exact"/>
        <w:ind w:firstLine="0"/>
        <w:rPr>
          <w:rFonts w:ascii="仿宋_GB2312" w:eastAsia="仿宋_GB2312"/>
          <w:b/>
          <w:sz w:val="28"/>
          <w:szCs w:val="28"/>
        </w:rPr>
      </w:pPr>
    </w:p>
    <w:p>
      <w:pPr>
        <w:pStyle w:val="2"/>
        <w:snapToGrid w:val="0"/>
        <w:spacing w:line="520" w:lineRule="exact"/>
        <w:ind w:firstLine="0"/>
        <w:rPr>
          <w:rFonts w:ascii="仿宋_GB2312" w:eastAsia="仿宋_GB2312"/>
          <w:b/>
          <w:sz w:val="32"/>
          <w:szCs w:val="32"/>
        </w:rPr>
      </w:pPr>
      <w:r>
        <w:rPr>
          <w:rFonts w:hint="eastAsia" w:ascii="仿宋_GB2312" w:eastAsia="仿宋_GB2312"/>
          <w:b/>
          <w:sz w:val="32"/>
          <w:szCs w:val="32"/>
        </w:rPr>
        <w:t>公司待遇</w:t>
      </w:r>
    </w:p>
    <w:p>
      <w:pPr>
        <w:pStyle w:val="14"/>
        <w:numPr>
          <w:ilvl w:val="0"/>
          <w:numId w:val="1"/>
        </w:numPr>
        <w:autoSpaceDE w:val="0"/>
        <w:autoSpaceDN w:val="0"/>
        <w:adjustRightInd w:val="0"/>
        <w:ind w:firstLineChars="0"/>
        <w:jc w:val="left"/>
        <w:rPr>
          <w:rFonts w:ascii="仿宋_GB2312" w:hAnsi="微软雅黑" w:eastAsia="仿宋_GB2312" w:cs="Tahoma"/>
          <w:spacing w:val="2"/>
          <w:sz w:val="32"/>
          <w:szCs w:val="32"/>
        </w:rPr>
      </w:pPr>
      <w:r>
        <w:rPr>
          <w:rFonts w:hint="eastAsia" w:ascii="仿宋_GB2312" w:hAnsi="微软雅黑" w:eastAsia="仿宋_GB2312" w:cs="Tahoma"/>
          <w:spacing w:val="2"/>
          <w:sz w:val="32"/>
          <w:szCs w:val="32"/>
        </w:rPr>
        <w:t>签订正式劳动合同，六险二金、补充医疗保险、体检、带薪年假等多种法定福利及保障</w:t>
      </w:r>
    </w:p>
    <w:p>
      <w:pPr>
        <w:pStyle w:val="14"/>
        <w:numPr>
          <w:ilvl w:val="0"/>
          <w:numId w:val="1"/>
        </w:numPr>
        <w:autoSpaceDE w:val="0"/>
        <w:autoSpaceDN w:val="0"/>
        <w:adjustRightInd w:val="0"/>
        <w:ind w:firstLineChars="0"/>
        <w:jc w:val="left"/>
        <w:rPr>
          <w:rFonts w:ascii="仿宋_GB2312" w:hAnsi="微软雅黑" w:eastAsia="仿宋_GB2312" w:cs="Tahoma"/>
          <w:spacing w:val="2"/>
          <w:sz w:val="32"/>
          <w:szCs w:val="32"/>
        </w:rPr>
      </w:pPr>
      <w:r>
        <w:rPr>
          <w:rFonts w:hint="eastAsia" w:ascii="仿宋_GB2312" w:hAnsi="微软雅黑" w:eastAsia="仿宋_GB2312" w:cs="Tahoma"/>
          <w:spacing w:val="2"/>
          <w:sz w:val="32"/>
          <w:szCs w:val="32"/>
        </w:rPr>
        <w:t>制式化的员工培养机制，开放的内部岗位轮换及竞聘机会</w:t>
      </w:r>
    </w:p>
    <w:p>
      <w:pPr>
        <w:pStyle w:val="14"/>
        <w:numPr>
          <w:ilvl w:val="0"/>
          <w:numId w:val="1"/>
        </w:numPr>
        <w:autoSpaceDE w:val="0"/>
        <w:autoSpaceDN w:val="0"/>
        <w:adjustRightInd w:val="0"/>
        <w:ind w:firstLineChars="0"/>
        <w:jc w:val="left"/>
        <w:rPr>
          <w:rFonts w:ascii="仿宋_GB2312" w:hAnsi="微软雅黑" w:eastAsia="仿宋_GB2312" w:cs="Tahoma"/>
          <w:spacing w:val="2"/>
          <w:sz w:val="32"/>
          <w:szCs w:val="32"/>
        </w:rPr>
      </w:pPr>
      <w:r>
        <w:rPr>
          <w:rFonts w:hint="eastAsia" w:ascii="仿宋_GB2312" w:hAnsi="微软雅黑" w:eastAsia="仿宋_GB2312" w:cs="Tahoma"/>
          <w:spacing w:val="2"/>
          <w:sz w:val="32"/>
          <w:szCs w:val="32"/>
        </w:rPr>
        <w:t>专业类、管理类的双晋升通道</w:t>
      </w:r>
    </w:p>
    <w:p>
      <w:pPr>
        <w:pStyle w:val="14"/>
        <w:numPr>
          <w:ilvl w:val="0"/>
          <w:numId w:val="1"/>
        </w:numPr>
        <w:autoSpaceDE w:val="0"/>
        <w:autoSpaceDN w:val="0"/>
        <w:adjustRightInd w:val="0"/>
        <w:ind w:firstLineChars="0"/>
        <w:jc w:val="left"/>
        <w:rPr>
          <w:rFonts w:ascii="仿宋_GB2312" w:hAnsi="微软雅黑" w:eastAsia="仿宋_GB2312" w:cs="Tahoma"/>
          <w:spacing w:val="2"/>
          <w:sz w:val="32"/>
          <w:szCs w:val="32"/>
        </w:rPr>
      </w:pPr>
      <w:r>
        <w:rPr>
          <w:rFonts w:hint="eastAsia" w:ascii="仿宋_GB2312" w:hAnsi="微软雅黑" w:eastAsia="仿宋_GB2312" w:cs="Tahoma"/>
          <w:spacing w:val="2"/>
          <w:sz w:val="32"/>
          <w:szCs w:val="32"/>
        </w:rPr>
        <w:t>有行业竞争力的薪酬水平，基层新员工初期待遇保护</w:t>
      </w:r>
    </w:p>
    <w:p>
      <w:pPr>
        <w:pStyle w:val="14"/>
        <w:numPr>
          <w:ilvl w:val="0"/>
          <w:numId w:val="1"/>
        </w:numPr>
        <w:autoSpaceDE w:val="0"/>
        <w:autoSpaceDN w:val="0"/>
        <w:adjustRightInd w:val="0"/>
        <w:ind w:firstLineChars="0"/>
        <w:jc w:val="left"/>
        <w:rPr>
          <w:rFonts w:ascii="仿宋_GB2312" w:hAnsi="微软雅黑" w:eastAsia="仿宋_GB2312" w:cs="Tahoma"/>
          <w:spacing w:val="2"/>
          <w:sz w:val="32"/>
          <w:szCs w:val="32"/>
        </w:rPr>
      </w:pPr>
      <w:r>
        <w:rPr>
          <w:rFonts w:hint="eastAsia" w:ascii="仿宋_GB2312" w:hAnsi="微软雅黑" w:eastAsia="仿宋_GB2312" w:cs="Tahoma"/>
          <w:spacing w:val="2"/>
          <w:sz w:val="32"/>
          <w:szCs w:val="32"/>
        </w:rPr>
        <w:t>演讲比赛，篮球赛等丰富的员工业余活动</w:t>
      </w:r>
    </w:p>
    <w:p>
      <w:pPr>
        <w:pStyle w:val="14"/>
        <w:numPr>
          <w:ilvl w:val="0"/>
          <w:numId w:val="1"/>
        </w:numPr>
        <w:autoSpaceDE w:val="0"/>
        <w:autoSpaceDN w:val="0"/>
        <w:adjustRightInd w:val="0"/>
        <w:ind w:firstLineChars="0"/>
        <w:jc w:val="left"/>
        <w:rPr>
          <w:rFonts w:ascii="仿宋_GB2312" w:hAnsi="微软雅黑" w:eastAsia="仿宋_GB2312" w:cs="Tahoma"/>
          <w:spacing w:val="2"/>
          <w:sz w:val="32"/>
          <w:szCs w:val="32"/>
        </w:rPr>
      </w:pPr>
      <w:r>
        <w:rPr>
          <w:rFonts w:hint="eastAsia" w:ascii="仿宋_GB2312" w:hAnsi="微软雅黑" w:eastAsia="仿宋_GB2312" w:cs="Tahoma"/>
          <w:spacing w:val="2"/>
          <w:sz w:val="32"/>
          <w:szCs w:val="32"/>
        </w:rPr>
        <w:t>为非广州户籍的学生办理广州市</w:t>
      </w:r>
      <w:r>
        <w:rPr>
          <w:rFonts w:hint="eastAsia" w:ascii="仿宋_GB2312" w:hAnsi="微软雅黑" w:eastAsia="仿宋_GB2312" w:cs="Tahoma"/>
          <w:b/>
          <w:color w:val="FF0000"/>
          <w:spacing w:val="2"/>
          <w:sz w:val="32"/>
          <w:szCs w:val="32"/>
        </w:rPr>
        <w:t>户籍</w:t>
      </w:r>
      <w:r>
        <w:rPr>
          <w:rFonts w:hint="eastAsia" w:ascii="仿宋_GB2312" w:hAnsi="微软雅黑" w:eastAsia="仿宋_GB2312" w:cs="Tahoma"/>
          <w:spacing w:val="2"/>
          <w:sz w:val="32"/>
          <w:szCs w:val="32"/>
        </w:rPr>
        <w:t>，并提供一年的住宿补贴</w:t>
      </w:r>
    </w:p>
    <w:p>
      <w:pPr>
        <w:pStyle w:val="2"/>
        <w:snapToGrid w:val="0"/>
        <w:spacing w:line="520" w:lineRule="exact"/>
        <w:ind w:firstLine="0"/>
        <w:rPr>
          <w:rFonts w:ascii="仿宋_GB2312" w:eastAsia="仿宋_GB2312"/>
          <w:b/>
          <w:sz w:val="28"/>
          <w:szCs w:val="28"/>
        </w:rPr>
      </w:pPr>
    </w:p>
    <w:p>
      <w:pPr>
        <w:pStyle w:val="2"/>
        <w:snapToGrid w:val="0"/>
        <w:spacing w:line="520" w:lineRule="exact"/>
        <w:ind w:firstLine="0"/>
        <w:rPr>
          <w:rFonts w:ascii="仿宋_GB2312" w:eastAsia="仿宋_GB2312"/>
          <w:b/>
          <w:sz w:val="32"/>
          <w:szCs w:val="32"/>
        </w:rPr>
      </w:pPr>
      <w:r>
        <w:rPr>
          <w:rFonts w:hint="eastAsia" w:ascii="仿宋_GB2312" w:eastAsia="仿宋_GB2312"/>
          <w:b/>
          <w:sz w:val="32"/>
          <w:szCs w:val="32"/>
        </w:rPr>
        <w:t>应聘方式</w:t>
      </w:r>
    </w:p>
    <w:p>
      <w:pPr>
        <w:pStyle w:val="2"/>
        <w:snapToGrid w:val="0"/>
        <w:spacing w:line="520" w:lineRule="exact"/>
        <w:ind w:firstLine="0"/>
        <w:rPr>
          <w:rFonts w:ascii="仿宋_GB2312" w:eastAsia="仿宋_GB2312"/>
          <w:sz w:val="32"/>
          <w:szCs w:val="32"/>
        </w:rPr>
      </w:pPr>
      <w:r>
        <w:rPr>
          <w:rFonts w:hint="eastAsia" w:ascii="仿宋_GB2312" w:eastAsia="仿宋_GB2312"/>
          <w:sz w:val="32"/>
          <w:szCs w:val="32"/>
        </w:rPr>
        <w:t>1.</w:t>
      </w:r>
      <w:r>
        <w:fldChar w:fldCharType="begin"/>
      </w:r>
      <w:r>
        <w:instrText xml:space="preserve"> HYPERLINK "mailto:简历投递至wangjiangmeng@gd.e-chinalife.com" </w:instrText>
      </w:r>
      <w:r>
        <w:fldChar w:fldCharType="separate"/>
      </w:r>
      <w:r>
        <w:rPr>
          <w:rStyle w:val="8"/>
          <w:rFonts w:hint="eastAsia" w:ascii="仿宋_GB2312" w:eastAsia="仿宋_GB2312"/>
          <w:sz w:val="32"/>
          <w:szCs w:val="32"/>
        </w:rPr>
        <w:t>简历投递至wangjiangmeng@gd.e-chinalife.com</w:t>
      </w:r>
      <w:r>
        <w:rPr>
          <w:rStyle w:val="8"/>
          <w:rFonts w:hint="eastAsia" w:ascii="仿宋_GB2312" w:eastAsia="仿宋_GB2312"/>
          <w:sz w:val="32"/>
          <w:szCs w:val="32"/>
        </w:rPr>
        <w:fldChar w:fldCharType="end"/>
      </w:r>
      <w:r>
        <w:rPr>
          <w:rFonts w:hint="eastAsia" w:ascii="仿宋_GB2312" w:eastAsia="仿宋_GB2312"/>
          <w:sz w:val="32"/>
          <w:szCs w:val="32"/>
        </w:rPr>
        <w:t>，简历命名为“</w:t>
      </w:r>
      <w:r>
        <w:rPr>
          <w:rFonts w:hint="eastAsia" w:ascii="仿宋_GB2312" w:eastAsia="仿宋_GB2312"/>
          <w:b/>
          <w:color w:val="FF0000"/>
          <w:sz w:val="32"/>
          <w:szCs w:val="32"/>
        </w:rPr>
        <w:t>姓名-学校-专业-应聘岗位</w:t>
      </w:r>
      <w:r>
        <w:rPr>
          <w:rFonts w:hint="eastAsia" w:ascii="仿宋_GB2312" w:eastAsia="仿宋_GB2312"/>
          <w:sz w:val="32"/>
          <w:szCs w:val="32"/>
        </w:rPr>
        <w:t>”。</w:t>
      </w:r>
    </w:p>
    <w:p>
      <w:pPr>
        <w:pStyle w:val="2"/>
        <w:snapToGrid w:val="0"/>
        <w:spacing w:line="520" w:lineRule="exact"/>
        <w:ind w:firstLine="0"/>
        <w:jc w:val="left"/>
        <w:rPr>
          <w:rFonts w:ascii="仿宋_GB2312" w:eastAsia="仿宋_GB2312"/>
          <w:sz w:val="32"/>
          <w:szCs w:val="32"/>
        </w:rPr>
      </w:pPr>
      <w:r>
        <w:rPr>
          <w:rFonts w:hint="eastAsia" w:ascii="仿宋_GB2312" w:eastAsia="仿宋_GB2312"/>
          <w:sz w:val="32"/>
          <w:szCs w:val="32"/>
        </w:rPr>
        <w:t>2.登录中国人寿招聘系统进行网申，招聘网址为：</w:t>
      </w:r>
      <w:r>
        <w:fldChar w:fldCharType="begin"/>
      </w:r>
      <w:r>
        <w:instrText xml:space="preserve"> HYPERLINK "http://www.chinalife.com.cn/jobs/" </w:instrText>
      </w:r>
      <w:r>
        <w:fldChar w:fldCharType="separate"/>
      </w:r>
      <w:r>
        <w:rPr>
          <w:rStyle w:val="8"/>
          <w:rFonts w:ascii="仿宋_GB2312" w:eastAsia="仿宋_GB2312"/>
          <w:sz w:val="32"/>
          <w:szCs w:val="32"/>
        </w:rPr>
        <w:t>http://www.chinalife.com.cn/jobs/</w:t>
      </w:r>
      <w:r>
        <w:rPr>
          <w:rStyle w:val="8"/>
          <w:rFonts w:ascii="仿宋_GB2312" w:eastAsia="仿宋_GB2312"/>
          <w:sz w:val="32"/>
          <w:szCs w:val="32"/>
        </w:rPr>
        <w:fldChar w:fldCharType="end"/>
      </w:r>
    </w:p>
    <w:p>
      <w:pPr>
        <w:autoSpaceDE w:val="0"/>
        <w:autoSpaceDN w:val="0"/>
        <w:adjustRightInd w:val="0"/>
        <w:jc w:val="left"/>
        <w:rPr>
          <w:rFonts w:ascii="仿宋_GB2312" w:hAnsi="微软雅黑" w:eastAsia="仿宋_GB2312" w:cs="Tahoma"/>
          <w:spacing w:val="2"/>
          <w:sz w:val="32"/>
          <w:szCs w:val="32"/>
        </w:rPr>
      </w:pPr>
      <w:r>
        <w:rPr>
          <w:rFonts w:hint="eastAsia" w:ascii="仿宋_GB2312" w:hAnsi="微软雅黑" w:eastAsia="仿宋_GB2312" w:cs="Tahoma"/>
          <w:spacing w:val="2"/>
          <w:sz w:val="32"/>
          <w:szCs w:val="32"/>
        </w:rPr>
        <w:t>2.咨询电话：38910365（王小姐、庄先生）</w:t>
      </w:r>
    </w:p>
    <w:p>
      <w:pPr>
        <w:pStyle w:val="2"/>
        <w:snapToGrid w:val="0"/>
        <w:spacing w:line="520" w:lineRule="exact"/>
        <w:ind w:firstLine="0"/>
        <w:rPr>
          <w:rFonts w:ascii="仿宋_GB2312" w:eastAsia="仿宋_GB2312"/>
          <w:sz w:val="32"/>
          <w:szCs w:val="32"/>
        </w:rPr>
      </w:pPr>
    </w:p>
    <w:p>
      <w:pPr>
        <w:autoSpaceDE w:val="0"/>
        <w:autoSpaceDN w:val="0"/>
        <w:adjustRightInd w:val="0"/>
        <w:spacing w:line="276" w:lineRule="auto"/>
        <w:ind w:firstLine="645"/>
        <w:jc w:val="left"/>
        <w:rPr>
          <w:rFonts w:ascii="仿宋_GB2312" w:hAnsi="微软雅黑" w:eastAsia="仿宋_GB2312" w:cs="Tahoma"/>
          <w:b/>
          <w:spacing w:val="2"/>
          <w:sz w:val="32"/>
          <w:szCs w:val="32"/>
        </w:rPr>
      </w:pPr>
      <w:r>
        <w:rPr>
          <w:rFonts w:hint="eastAsia" w:ascii="仿宋_GB2312" w:hAnsi="微软雅黑" w:eastAsia="仿宋_GB2312" w:cs="Tahoma"/>
          <w:b/>
          <w:spacing w:val="2"/>
          <w:sz w:val="32"/>
          <w:szCs w:val="32"/>
        </w:rPr>
        <w:t>2014年，新的“国十条”、广东省“省九条”等国家政策的颁布，为保险行业的发展打开了前所未有的发展空间，我们正在迎接无限的机遇和挑战。</w:t>
      </w:r>
    </w:p>
    <w:p>
      <w:pPr>
        <w:autoSpaceDE w:val="0"/>
        <w:autoSpaceDN w:val="0"/>
        <w:adjustRightInd w:val="0"/>
        <w:spacing w:line="276" w:lineRule="auto"/>
        <w:ind w:firstLine="645"/>
        <w:jc w:val="left"/>
        <w:rPr>
          <w:rFonts w:ascii="仿宋_GB2312" w:hAnsi="微软雅黑" w:eastAsia="仿宋_GB2312" w:cs="Tahoma"/>
          <w:b/>
          <w:spacing w:val="2"/>
          <w:sz w:val="32"/>
          <w:szCs w:val="32"/>
        </w:rPr>
      </w:pPr>
      <w:r>
        <w:rPr>
          <w:rFonts w:hint="eastAsia" w:ascii="仿宋_GB2312" w:hAnsi="微软雅黑" w:eastAsia="仿宋_GB2312" w:cs="Tahoma"/>
          <w:b/>
          <w:spacing w:val="2"/>
          <w:sz w:val="32"/>
          <w:szCs w:val="32"/>
        </w:rPr>
        <w:t>欢迎认同保险行业，有热情、有活力、有爱心、有责任感的你加入，为保险行业的发展，为中国人寿的成长共同努力！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仿宋简体">
    <w:altName w:val="宋体"/>
    <w:panose1 w:val="00000000000000000000"/>
    <w:charset w:val="86"/>
    <w:family w:val="auto"/>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94254"/>
    <w:multiLevelType w:val="multilevel"/>
    <w:tmpl w:val="0C294254"/>
    <w:lvl w:ilvl="0" w:tentative="0">
      <w:start w:val="1"/>
      <w:numFmt w:val="bullet"/>
      <w:lvlText w:val=""/>
      <w:lvlJc w:val="left"/>
      <w:pPr>
        <w:ind w:left="420"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3392D"/>
    <w:rsid w:val="00082842"/>
    <w:rsid w:val="000A0B53"/>
    <w:rsid w:val="000C145A"/>
    <w:rsid w:val="000F5C7F"/>
    <w:rsid w:val="00117AB1"/>
    <w:rsid w:val="00136BA8"/>
    <w:rsid w:val="0015082C"/>
    <w:rsid w:val="00154CCF"/>
    <w:rsid w:val="0015546C"/>
    <w:rsid w:val="00166E7C"/>
    <w:rsid w:val="00192D0B"/>
    <w:rsid w:val="001A72D3"/>
    <w:rsid w:val="001B0C59"/>
    <w:rsid w:val="001B6766"/>
    <w:rsid w:val="001C3D27"/>
    <w:rsid w:val="0020205B"/>
    <w:rsid w:val="002032B4"/>
    <w:rsid w:val="002206D9"/>
    <w:rsid w:val="00240500"/>
    <w:rsid w:val="0026228D"/>
    <w:rsid w:val="00264471"/>
    <w:rsid w:val="002847C7"/>
    <w:rsid w:val="002879A0"/>
    <w:rsid w:val="00290392"/>
    <w:rsid w:val="002A26C0"/>
    <w:rsid w:val="002C3A86"/>
    <w:rsid w:val="002D4832"/>
    <w:rsid w:val="002F1601"/>
    <w:rsid w:val="002F2B2A"/>
    <w:rsid w:val="002F51C2"/>
    <w:rsid w:val="0031518E"/>
    <w:rsid w:val="003154D7"/>
    <w:rsid w:val="003168BA"/>
    <w:rsid w:val="003325E5"/>
    <w:rsid w:val="003432A9"/>
    <w:rsid w:val="00343F65"/>
    <w:rsid w:val="00364C28"/>
    <w:rsid w:val="003702E9"/>
    <w:rsid w:val="00372872"/>
    <w:rsid w:val="0038302F"/>
    <w:rsid w:val="00386E7D"/>
    <w:rsid w:val="00390EFA"/>
    <w:rsid w:val="003D362A"/>
    <w:rsid w:val="00402D32"/>
    <w:rsid w:val="00403E05"/>
    <w:rsid w:val="0040448E"/>
    <w:rsid w:val="00410F0E"/>
    <w:rsid w:val="00423844"/>
    <w:rsid w:val="00445E5A"/>
    <w:rsid w:val="004D2C64"/>
    <w:rsid w:val="004D2D39"/>
    <w:rsid w:val="004D3249"/>
    <w:rsid w:val="004F22C0"/>
    <w:rsid w:val="005075A0"/>
    <w:rsid w:val="005262F1"/>
    <w:rsid w:val="005912A0"/>
    <w:rsid w:val="005B147C"/>
    <w:rsid w:val="00614782"/>
    <w:rsid w:val="00620E19"/>
    <w:rsid w:val="006323B7"/>
    <w:rsid w:val="006336FA"/>
    <w:rsid w:val="0064305C"/>
    <w:rsid w:val="006432D6"/>
    <w:rsid w:val="00654E93"/>
    <w:rsid w:val="00657277"/>
    <w:rsid w:val="006804F8"/>
    <w:rsid w:val="006B3E52"/>
    <w:rsid w:val="006B49B1"/>
    <w:rsid w:val="006E7E19"/>
    <w:rsid w:val="00707B6D"/>
    <w:rsid w:val="00710E6D"/>
    <w:rsid w:val="00723F9C"/>
    <w:rsid w:val="00734EFC"/>
    <w:rsid w:val="00765155"/>
    <w:rsid w:val="00770D5C"/>
    <w:rsid w:val="007A07CB"/>
    <w:rsid w:val="007C291B"/>
    <w:rsid w:val="00833E7C"/>
    <w:rsid w:val="0088055C"/>
    <w:rsid w:val="00885E6A"/>
    <w:rsid w:val="008A13F1"/>
    <w:rsid w:val="008B3DB3"/>
    <w:rsid w:val="008D6B91"/>
    <w:rsid w:val="008F0347"/>
    <w:rsid w:val="008F45C5"/>
    <w:rsid w:val="0094578D"/>
    <w:rsid w:val="00946863"/>
    <w:rsid w:val="00950A37"/>
    <w:rsid w:val="00964029"/>
    <w:rsid w:val="00994D48"/>
    <w:rsid w:val="009F5B7B"/>
    <w:rsid w:val="00A01ADA"/>
    <w:rsid w:val="00A070D9"/>
    <w:rsid w:val="00A11BDE"/>
    <w:rsid w:val="00A245A8"/>
    <w:rsid w:val="00A246A6"/>
    <w:rsid w:val="00A57473"/>
    <w:rsid w:val="00A72379"/>
    <w:rsid w:val="00A74224"/>
    <w:rsid w:val="00AB189F"/>
    <w:rsid w:val="00AB6688"/>
    <w:rsid w:val="00AE66FA"/>
    <w:rsid w:val="00AF6653"/>
    <w:rsid w:val="00B015F0"/>
    <w:rsid w:val="00B3392D"/>
    <w:rsid w:val="00B445A7"/>
    <w:rsid w:val="00B925BB"/>
    <w:rsid w:val="00BD3AEB"/>
    <w:rsid w:val="00BD3C2F"/>
    <w:rsid w:val="00BD5914"/>
    <w:rsid w:val="00BE2532"/>
    <w:rsid w:val="00C24B5F"/>
    <w:rsid w:val="00C42DF7"/>
    <w:rsid w:val="00C96DEE"/>
    <w:rsid w:val="00D301FF"/>
    <w:rsid w:val="00D354C5"/>
    <w:rsid w:val="00D3639D"/>
    <w:rsid w:val="00D67A3B"/>
    <w:rsid w:val="00D83B4F"/>
    <w:rsid w:val="00DC2D68"/>
    <w:rsid w:val="00DE3FF0"/>
    <w:rsid w:val="00E30584"/>
    <w:rsid w:val="00E87B76"/>
    <w:rsid w:val="00EB11F2"/>
    <w:rsid w:val="00EC0F3A"/>
    <w:rsid w:val="00F01E1A"/>
    <w:rsid w:val="00F30228"/>
    <w:rsid w:val="00F53852"/>
    <w:rsid w:val="00F61DC9"/>
    <w:rsid w:val="00F63292"/>
    <w:rsid w:val="00F94ED2"/>
    <w:rsid w:val="00F97CC9"/>
    <w:rsid w:val="00FA1C88"/>
    <w:rsid w:val="00FB1C31"/>
    <w:rsid w:val="00FB74BC"/>
    <w:rsid w:val="00FE2B40"/>
    <w:rsid w:val="00FF155B"/>
    <w:rsid w:val="123D052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0" w:semiHidden="0"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Body Text Indent 2"/>
    <w:basedOn w:val="1"/>
    <w:link w:val="11"/>
    <w:uiPriority w:val="0"/>
    <w:pPr>
      <w:ind w:firstLine="600"/>
    </w:pPr>
    <w:rPr>
      <w:rFonts w:eastAsia="方正仿宋简体"/>
      <w:sz w:val="30"/>
      <w:szCs w:val="20"/>
    </w:rPr>
  </w:style>
  <w:style w:type="paragraph" w:styleId="3">
    <w:name w:val="footer"/>
    <w:basedOn w:val="1"/>
    <w:link w:val="13"/>
    <w:unhideWhenUsed/>
    <w:qFormat/>
    <w:uiPriority w:val="99"/>
    <w:pPr>
      <w:tabs>
        <w:tab w:val="center" w:pos="4153"/>
        <w:tab w:val="right" w:pos="8306"/>
      </w:tabs>
      <w:snapToGrid w:val="0"/>
      <w:jc w:val="left"/>
    </w:pPr>
    <w:rPr>
      <w:sz w:val="18"/>
      <w:szCs w:val="18"/>
    </w:rPr>
  </w:style>
  <w:style w:type="paragraph" w:styleId="4">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jc w:val="left"/>
    </w:pPr>
    <w:rPr>
      <w:rFonts w:ascii="宋体" w:hAnsi="宋体" w:cs="宋体"/>
      <w:kern w:val="0"/>
      <w:sz w:val="24"/>
    </w:rPr>
  </w:style>
  <w:style w:type="character" w:styleId="7">
    <w:name w:val="FollowedHyperlink"/>
    <w:basedOn w:val="6"/>
    <w:unhideWhenUsed/>
    <w:qFormat/>
    <w:uiPriority w:val="99"/>
    <w:rPr>
      <w:color w:val="800080" w:themeColor="followedHyperlink"/>
      <w:u w:val="single"/>
    </w:rPr>
  </w:style>
  <w:style w:type="character" w:styleId="8">
    <w:name w:val="Hyperlink"/>
    <w:basedOn w:val="6"/>
    <w:qFormat/>
    <w:uiPriority w:val="0"/>
    <w:rPr>
      <w:color w:val="0000FF"/>
      <w:u w:val="single"/>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正文文本缩进 2 Char"/>
    <w:basedOn w:val="6"/>
    <w:link w:val="2"/>
    <w:uiPriority w:val="0"/>
    <w:rPr>
      <w:rFonts w:ascii="Times New Roman" w:hAnsi="Times New Roman" w:eastAsia="方正仿宋简体" w:cs="Times New Roman"/>
      <w:sz w:val="30"/>
      <w:szCs w:val="20"/>
    </w:rPr>
  </w:style>
  <w:style w:type="character" w:customStyle="1" w:styleId="12">
    <w:name w:val="页眉 Char"/>
    <w:basedOn w:val="6"/>
    <w:link w:val="4"/>
    <w:qFormat/>
    <w:uiPriority w:val="99"/>
    <w:rPr>
      <w:rFonts w:ascii="Times New Roman" w:hAnsi="Times New Roman" w:eastAsia="宋体" w:cs="Times New Roman"/>
      <w:sz w:val="18"/>
      <w:szCs w:val="18"/>
    </w:rPr>
  </w:style>
  <w:style w:type="character" w:customStyle="1" w:styleId="13">
    <w:name w:val="页脚 Char"/>
    <w:basedOn w:val="6"/>
    <w:link w:val="3"/>
    <w:qFormat/>
    <w:uiPriority w:val="99"/>
    <w:rPr>
      <w:rFonts w:ascii="Times New Roman" w:hAnsi="Times New Roman" w:eastAsia="宋体" w:cs="Times New Roman"/>
      <w:sz w:val="18"/>
      <w:szCs w:val="18"/>
    </w:rPr>
  </w:style>
  <w:style w:type="paragraph" w:customStyle="1" w:styleId="14">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6B0047-EBA4-46B3-A9D1-9F41CBD8F3C5}">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Pages>
  <Words>205</Words>
  <Characters>1173</Characters>
  <Lines>9</Lines>
  <Paragraphs>2</Paragraphs>
  <TotalTime>0</TotalTime>
  <ScaleCrop>false</ScaleCrop>
  <LinksUpToDate>false</LinksUpToDate>
  <CharactersWithSpaces>1376</CharactersWithSpaces>
  <Application>WPS Office_10.1.0.6750_F1E327BC-269C-435d-A152-05C5408002CA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2017-08-29T07:34:00Z</dcterms:created>
  <dc:creator>崔屹山</dc:creator>
  <cp:lastModifiedBy>gzbys</cp:lastModifiedBy>
  <dcterms:modified xsi:type="dcterms:W3CDTF">2017-09-30T06:34:18Z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2052-10.1.0.6750</vt:lpwstr>
  </property>
</Properties>
</file>